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73CB08B5" w14:textId="77777777" w:rsidR="00574E5C" w:rsidRDefault="00574E5C" w:rsidP="00574E5C">
      <w:pPr>
        <w:spacing w:after="0"/>
      </w:pPr>
    </w:p>
    <w:p w14:paraId="58406E95" w14:textId="7A5BF0D7" w:rsidR="00574E5C" w:rsidRPr="00574E5C" w:rsidRDefault="00574E5C" w:rsidP="00574E5C">
      <w:pPr>
        <w:spacing w:after="0"/>
        <w:ind w:left="720"/>
        <w:rPr>
          <w:i/>
          <w:color w:val="0070C0"/>
        </w:rPr>
      </w:pPr>
      <w:r w:rsidRPr="00574E5C">
        <w:rPr>
          <w:i/>
          <w:color w:val="0070C0"/>
        </w:rPr>
        <w:t>Operations- Retail Establishment</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5B66B7CB" w14:textId="77777777" w:rsidR="00574E5C" w:rsidRDefault="00574E5C" w:rsidP="00574E5C">
      <w:pPr>
        <w:pStyle w:val="ListParagraph"/>
        <w:spacing w:after="0"/>
      </w:pPr>
    </w:p>
    <w:p w14:paraId="0C3A33AF" w14:textId="77777777" w:rsidR="00574E5C" w:rsidRPr="00574E5C" w:rsidRDefault="00574E5C" w:rsidP="00574E5C">
      <w:pPr>
        <w:pStyle w:val="ListParagraph"/>
        <w:spacing w:after="0"/>
        <w:rPr>
          <w:i/>
          <w:color w:val="0070C0"/>
        </w:rPr>
      </w:pPr>
      <w:r w:rsidRPr="00574E5C">
        <w:rPr>
          <w:i/>
          <w:color w:val="0070C0"/>
        </w:rPr>
        <w:t>Riana Durrett, Executive Director, Nevada Dispensary Association</w:t>
      </w:r>
    </w:p>
    <w:p w14:paraId="0EA5CB14" w14:textId="2FDD7B18" w:rsidR="00574E5C" w:rsidRPr="00574E5C" w:rsidRDefault="00574E5C" w:rsidP="00574E5C">
      <w:pPr>
        <w:pStyle w:val="ListParagraph"/>
        <w:spacing w:after="0"/>
        <w:rPr>
          <w:i/>
          <w:color w:val="0070C0"/>
        </w:rPr>
      </w:pPr>
      <w:r w:rsidRPr="00574E5C">
        <w:rPr>
          <w:i/>
          <w:color w:val="0070C0"/>
        </w:rPr>
        <w:t>Paulina Oliver, Deputy Director of Compliance, Nevada Dept. of Taxation</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5EC81C3C" w14:textId="77777777" w:rsidR="00574E5C" w:rsidRDefault="00574E5C" w:rsidP="00574E5C">
      <w:pPr>
        <w:pStyle w:val="ListParagraph"/>
        <w:spacing w:after="0"/>
      </w:pPr>
    </w:p>
    <w:p w14:paraId="1D5FEC54" w14:textId="677F7B59" w:rsidR="00E9081E" w:rsidRPr="00574E5C" w:rsidRDefault="00574E5C" w:rsidP="00574E5C">
      <w:pPr>
        <w:pStyle w:val="ListParagraph"/>
        <w:spacing w:after="0"/>
        <w:jc w:val="both"/>
        <w:rPr>
          <w:i/>
          <w:color w:val="0070C0"/>
        </w:rPr>
      </w:pPr>
      <w:r w:rsidRPr="00574E5C">
        <w:rPr>
          <w:i/>
          <w:color w:val="0070C0"/>
        </w:rPr>
        <w:t>The Operations-Retail Establishment working group recommends that Nevada Legislature transfer the responsibility for regulating the Nevada medical marijuana program from the Department of Health and Human Services to the Department of Taxation.  The working group recommends that the Nevada Legislature enact any necessary legislation to transfer the duties, responsibilities, and budgets relating to medical marijuana from Department of Health Human Services to the Department of Taxation during the 2017 regular legislative session.</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55BBBED4" w14:textId="77777777" w:rsidR="00574E5C" w:rsidRPr="003110FB" w:rsidRDefault="00574E5C" w:rsidP="00574E5C">
      <w:pPr>
        <w:pStyle w:val="ListParagraph"/>
        <w:spacing w:after="0"/>
      </w:pPr>
    </w:p>
    <w:p w14:paraId="140ED96C" w14:textId="226AE6C2" w:rsidR="00574E5C" w:rsidRDefault="00574E5C" w:rsidP="00202189">
      <w:pPr>
        <w:spacing w:after="0"/>
        <w:ind w:left="720"/>
        <w:jc w:val="both"/>
        <w:rPr>
          <w:i/>
          <w:color w:val="0070C0"/>
        </w:rPr>
      </w:pPr>
      <w:r>
        <w:rPr>
          <w:i/>
          <w:color w:val="0070C0"/>
        </w:rPr>
        <w:t xml:space="preserve">Guiding Principle 2 - </w:t>
      </w:r>
      <w:r w:rsidRPr="00574E5C">
        <w:rPr>
          <w:i/>
          <w:color w:val="0070C0"/>
        </w:rPr>
        <w:t>Be responsive to the needs and issues of consumers, non-consumers, local governments, and the industry</w:t>
      </w:r>
    </w:p>
    <w:p w14:paraId="18B7C81F" w14:textId="77777777" w:rsidR="00574E5C" w:rsidRDefault="00574E5C" w:rsidP="00202189">
      <w:pPr>
        <w:spacing w:after="0"/>
        <w:ind w:left="720"/>
        <w:jc w:val="both"/>
        <w:rPr>
          <w:i/>
          <w:color w:val="0070C0"/>
        </w:rPr>
      </w:pPr>
    </w:p>
    <w:p w14:paraId="18757121" w14:textId="335D0ED5" w:rsidR="00574E5C" w:rsidRDefault="00574E5C" w:rsidP="00202189">
      <w:pPr>
        <w:spacing w:after="0"/>
        <w:ind w:left="720"/>
        <w:jc w:val="both"/>
        <w:rPr>
          <w:i/>
          <w:color w:val="0070C0"/>
        </w:rPr>
      </w:pPr>
      <w:r>
        <w:rPr>
          <w:i/>
          <w:color w:val="0070C0"/>
        </w:rPr>
        <w:t>Guiding Principle 4 - P</w:t>
      </w:r>
      <w:r w:rsidRPr="00574E5C">
        <w:rPr>
          <w:i/>
          <w:color w:val="0070C0"/>
        </w:rPr>
        <w:t>ropose efficient and effective regulation that is clear and reasonabl</w:t>
      </w:r>
      <w:r>
        <w:rPr>
          <w:i/>
          <w:color w:val="0070C0"/>
        </w:rPr>
        <w:t>e and not unduly burdensome</w:t>
      </w:r>
    </w:p>
    <w:p w14:paraId="360EA66D" w14:textId="3F02EB6C" w:rsidR="00574E5C" w:rsidRDefault="00574E5C" w:rsidP="00202189">
      <w:pPr>
        <w:spacing w:after="0"/>
        <w:ind w:left="720"/>
        <w:jc w:val="both"/>
        <w:rPr>
          <w:i/>
          <w:color w:val="0070C0"/>
        </w:rPr>
      </w:pPr>
      <w:r>
        <w:rPr>
          <w:i/>
          <w:color w:val="0070C0"/>
        </w:rPr>
        <w:t xml:space="preserve"> </w:t>
      </w:r>
    </w:p>
    <w:p w14:paraId="30B2CE6D" w14:textId="17D41A55" w:rsidR="00202189" w:rsidRPr="00574E5C" w:rsidRDefault="00574E5C" w:rsidP="00202189">
      <w:pPr>
        <w:spacing w:after="0"/>
        <w:ind w:left="720"/>
        <w:jc w:val="both"/>
        <w:rPr>
          <w:i/>
          <w:color w:val="0070C0"/>
        </w:rPr>
      </w:pPr>
      <w:r>
        <w:rPr>
          <w:i/>
          <w:color w:val="0070C0"/>
        </w:rPr>
        <w:t>Guiding Principle 6 - E</w:t>
      </w:r>
      <w:r w:rsidRPr="00574E5C">
        <w:rPr>
          <w:i/>
          <w:color w:val="0070C0"/>
        </w:rPr>
        <w:t>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E9081E">
      <w:pPr>
        <w:spacing w:after="0"/>
      </w:pPr>
    </w:p>
    <w:p w14:paraId="3AA3525A" w14:textId="77777777" w:rsidR="00574E5C" w:rsidRDefault="00E9081E" w:rsidP="00E9081E">
      <w:pPr>
        <w:pStyle w:val="ListParagraph"/>
        <w:numPr>
          <w:ilvl w:val="0"/>
          <w:numId w:val="1"/>
        </w:numPr>
        <w:spacing w:after="0"/>
      </w:pPr>
      <w:r w:rsidRPr="003110FB">
        <w:t xml:space="preserve">What provision(s) of Question 2 does this recommendation apply to? </w:t>
      </w:r>
    </w:p>
    <w:p w14:paraId="2A0504E1" w14:textId="77777777" w:rsidR="00574E5C" w:rsidRDefault="00574E5C" w:rsidP="00574E5C">
      <w:pPr>
        <w:pStyle w:val="ListParagraph"/>
        <w:spacing w:after="0"/>
      </w:pPr>
    </w:p>
    <w:p w14:paraId="67FE160D" w14:textId="250ED92A" w:rsidR="00E9081E" w:rsidRPr="00E2467D" w:rsidRDefault="00E2467D" w:rsidP="00E2467D">
      <w:pPr>
        <w:pStyle w:val="ListParagraph"/>
        <w:spacing w:after="0"/>
        <w:jc w:val="both"/>
        <w:rPr>
          <w:i/>
          <w:color w:val="0070C0"/>
        </w:rPr>
      </w:pPr>
      <w:r w:rsidRPr="00E2467D">
        <w:rPr>
          <w:i/>
          <w:color w:val="0070C0"/>
        </w:rPr>
        <w:t xml:space="preserve">This recommendation pertains to the mandate under Question 2 that the Department of Taxation regulate marijuana establishments and retail marijuana.  This mandate creates two different regulatory structures and state departments when they are both essentially regulating the same product.  </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24DF7F8D" w14:textId="77777777" w:rsidR="00E2467D" w:rsidRDefault="00E2467D" w:rsidP="00E2467D">
      <w:pPr>
        <w:pStyle w:val="ListParagraph"/>
        <w:spacing w:after="0"/>
      </w:pPr>
    </w:p>
    <w:p w14:paraId="45ADF587" w14:textId="26299901" w:rsidR="00E2467D" w:rsidRPr="00E2467D" w:rsidRDefault="00E2467D" w:rsidP="00E2467D">
      <w:pPr>
        <w:spacing w:after="0"/>
        <w:ind w:left="720"/>
        <w:jc w:val="both"/>
        <w:rPr>
          <w:i/>
          <w:color w:val="0070C0"/>
        </w:rPr>
      </w:pPr>
      <w:r w:rsidRPr="00E2467D">
        <w:rPr>
          <w:i/>
          <w:color w:val="0070C0"/>
        </w:rPr>
        <w:t xml:space="preserve">This recommendation would resolve inefficiencies created by regulation of medical and retail marijuana by two different state Departments.  Oregon and Colorado officials in their departments of health and taxation have advised Nevada officials to avoid regulation of medical and retail under two different departments.  Regulation by two different departments creates </w:t>
      </w:r>
      <w:r w:rsidRPr="00E2467D">
        <w:rPr>
          <w:i/>
          <w:color w:val="0070C0"/>
        </w:rPr>
        <w:lastRenderedPageBreak/>
        <w:t>unnecessary inefficiencies, wastes State resources, and causes confusion as to which department is responsible for enforcement of certain issues.</w:t>
      </w: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Default="00E9081E" w:rsidP="00E9081E">
      <w:pPr>
        <w:spacing w:after="0"/>
      </w:pPr>
    </w:p>
    <w:p w14:paraId="2D2D02F0" w14:textId="32D68C4D" w:rsidR="00E2467D" w:rsidRPr="00E2467D" w:rsidRDefault="00E2467D" w:rsidP="00E2467D">
      <w:pPr>
        <w:spacing w:after="0"/>
        <w:ind w:left="720"/>
        <w:rPr>
          <w:i/>
          <w:color w:val="0070C0"/>
        </w:rPr>
      </w:pPr>
      <w:r w:rsidRPr="00E2467D">
        <w:rPr>
          <w:i/>
          <w:color w:val="0070C0"/>
        </w:rPr>
        <w:t>No dissent</w:t>
      </w:r>
    </w:p>
    <w:p w14:paraId="3588FBE3" w14:textId="77777777" w:rsidR="00E9081E" w:rsidRPr="003110FB" w:rsidRDefault="00E9081E" w:rsidP="00E9081E">
      <w:pPr>
        <w:spacing w:after="0"/>
      </w:pPr>
    </w:p>
    <w:p w14:paraId="6BD13B04" w14:textId="218A7B5D" w:rsidR="00E2467D" w:rsidRDefault="00E9081E" w:rsidP="00E2467D">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8AB528F" w14:textId="77777777" w:rsidR="00E2467D" w:rsidRDefault="00E2467D" w:rsidP="00E2467D">
      <w:pPr>
        <w:spacing w:after="0"/>
      </w:pPr>
    </w:p>
    <w:p w14:paraId="5CA7B542" w14:textId="725685C5" w:rsidR="00E9081E" w:rsidRPr="00E2467D" w:rsidRDefault="00E2467D" w:rsidP="00E2467D">
      <w:pPr>
        <w:spacing w:after="0"/>
        <w:ind w:left="720"/>
        <w:jc w:val="both"/>
        <w:rPr>
          <w:i/>
          <w:color w:val="0070C0"/>
        </w:rPr>
      </w:pPr>
      <w:r w:rsidRPr="00E2467D">
        <w:rPr>
          <w:i/>
          <w:color w:val="0070C0"/>
        </w:rPr>
        <w:t xml:space="preserve">Revise NRS 453A to allow the Department of Taxation to perform any function required by the Department of Health and Human Services.  Request input from Department of Taxation and Department of Health and Human Services as to whether any other chapters must be addressed </w:t>
      </w:r>
      <w:bookmarkStart w:id="0" w:name="_GoBack"/>
      <w:r w:rsidRPr="00E2467D">
        <w:rPr>
          <w:i/>
          <w:color w:val="0070C0"/>
        </w:rPr>
        <w:t xml:space="preserve">to transfer the medical marijuana program from Department of Health and Human Services to </w:t>
      </w:r>
      <w:bookmarkEnd w:id="0"/>
      <w:r w:rsidRPr="00E2467D">
        <w:rPr>
          <w:i/>
          <w:color w:val="0070C0"/>
        </w:rPr>
        <w:t xml:space="preserve">the Department of Taxation.  </w:t>
      </w:r>
    </w:p>
    <w:p w14:paraId="6E62C578" w14:textId="77777777" w:rsidR="00E9081E" w:rsidRPr="003110FB" w:rsidRDefault="00E9081E" w:rsidP="00E9081E">
      <w:pPr>
        <w:pStyle w:val="ListParagraph"/>
        <w:spacing w:after="0"/>
      </w:pPr>
    </w:p>
    <w:p w14:paraId="1EC95596" w14:textId="0163A5B5"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126740" w:rsidRPr="003110FB">
        <w:t>etc.</w:t>
      </w:r>
      <w:r w:rsidRPr="003110FB">
        <w:t>)</w:t>
      </w:r>
      <w:r w:rsidR="00B70E4E" w:rsidRPr="003110FB">
        <w:t>.</w:t>
      </w:r>
    </w:p>
    <w:p w14:paraId="7C56C3F5" w14:textId="77777777" w:rsidR="00E2467D" w:rsidRDefault="00E2467D" w:rsidP="00E2467D">
      <w:pPr>
        <w:spacing w:after="0"/>
      </w:pPr>
    </w:p>
    <w:p w14:paraId="486F8215" w14:textId="78DE4DC5" w:rsidR="00E2467D" w:rsidRPr="00E2467D" w:rsidRDefault="00E2467D" w:rsidP="00E2467D">
      <w:pPr>
        <w:spacing w:after="0"/>
        <w:ind w:left="720"/>
        <w:rPr>
          <w:i/>
          <w:color w:val="0070C0"/>
        </w:rPr>
      </w:pPr>
      <w:r w:rsidRPr="00E2467D">
        <w:rPr>
          <w:i/>
          <w:color w:val="0070C0"/>
        </w:rPr>
        <w:t>None</w:t>
      </w: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1148" w14:textId="77777777" w:rsidR="007E7024" w:rsidRDefault="007E7024" w:rsidP="00391997">
      <w:pPr>
        <w:spacing w:after="0" w:line="240" w:lineRule="auto"/>
      </w:pPr>
      <w:r>
        <w:separator/>
      </w:r>
    </w:p>
  </w:endnote>
  <w:endnote w:type="continuationSeparator" w:id="0">
    <w:p w14:paraId="49DD4991" w14:textId="77777777" w:rsidR="007E7024" w:rsidRDefault="007E7024"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0B882" w14:textId="77777777" w:rsidR="007E7024" w:rsidRDefault="007E7024" w:rsidP="00391997">
      <w:pPr>
        <w:spacing w:after="0" w:line="240" w:lineRule="auto"/>
      </w:pPr>
      <w:r>
        <w:separator/>
      </w:r>
    </w:p>
  </w:footnote>
  <w:footnote w:type="continuationSeparator" w:id="0">
    <w:p w14:paraId="0FCD1A66" w14:textId="77777777" w:rsidR="007E7024" w:rsidRDefault="007E7024"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50862A38" w:rsidR="00F43822" w:rsidRPr="00F43822" w:rsidRDefault="00175867" w:rsidP="008313F9">
    <w:pPr>
      <w:pStyle w:val="Heading2"/>
      <w:ind w:left="0"/>
      <w:jc w:val="center"/>
      <w:rPr>
        <w:sz w:val="22"/>
        <w:szCs w:val="22"/>
      </w:rPr>
    </w:pPr>
    <w:r>
      <w:rPr>
        <w:sz w:val="22"/>
        <w:szCs w:val="22"/>
      </w:rPr>
      <w:t>Recommendation – Transfer of Medical Program to the Department of Taxation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26740"/>
    <w:rsid w:val="00175867"/>
    <w:rsid w:val="001866F9"/>
    <w:rsid w:val="001B0ADC"/>
    <w:rsid w:val="001B10FF"/>
    <w:rsid w:val="00202189"/>
    <w:rsid w:val="00202E4C"/>
    <w:rsid w:val="0023729A"/>
    <w:rsid w:val="003110FB"/>
    <w:rsid w:val="00391997"/>
    <w:rsid w:val="004039AB"/>
    <w:rsid w:val="00435662"/>
    <w:rsid w:val="00442A3F"/>
    <w:rsid w:val="00565923"/>
    <w:rsid w:val="00574E5C"/>
    <w:rsid w:val="005E102D"/>
    <w:rsid w:val="006B0A7E"/>
    <w:rsid w:val="006D4662"/>
    <w:rsid w:val="00700DCA"/>
    <w:rsid w:val="00753FA6"/>
    <w:rsid w:val="007746E2"/>
    <w:rsid w:val="00774894"/>
    <w:rsid w:val="007765FD"/>
    <w:rsid w:val="007A4A8C"/>
    <w:rsid w:val="007E7024"/>
    <w:rsid w:val="008313F9"/>
    <w:rsid w:val="00882EE9"/>
    <w:rsid w:val="00887531"/>
    <w:rsid w:val="008D5094"/>
    <w:rsid w:val="008F0634"/>
    <w:rsid w:val="009201F4"/>
    <w:rsid w:val="009264B2"/>
    <w:rsid w:val="00957E83"/>
    <w:rsid w:val="00961D8A"/>
    <w:rsid w:val="009805E6"/>
    <w:rsid w:val="00996A51"/>
    <w:rsid w:val="009D1938"/>
    <w:rsid w:val="009F65F5"/>
    <w:rsid w:val="00A312E6"/>
    <w:rsid w:val="00A65F54"/>
    <w:rsid w:val="00AB71F7"/>
    <w:rsid w:val="00B11C15"/>
    <w:rsid w:val="00B70E4E"/>
    <w:rsid w:val="00BC0B03"/>
    <w:rsid w:val="00BC0F10"/>
    <w:rsid w:val="00BF6BBC"/>
    <w:rsid w:val="00CC30A8"/>
    <w:rsid w:val="00D22E65"/>
    <w:rsid w:val="00D926ED"/>
    <w:rsid w:val="00DA287B"/>
    <w:rsid w:val="00DC4C91"/>
    <w:rsid w:val="00DD1A10"/>
    <w:rsid w:val="00DE0ABD"/>
    <w:rsid w:val="00E2467D"/>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188D-F19C-4FF8-808B-F0CD4835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6</cp:revision>
  <cp:lastPrinted>2017-03-01T23:42:00Z</cp:lastPrinted>
  <dcterms:created xsi:type="dcterms:W3CDTF">2017-03-28T15:31:00Z</dcterms:created>
  <dcterms:modified xsi:type="dcterms:W3CDTF">2017-03-28T15:40:00Z</dcterms:modified>
</cp:coreProperties>
</file>